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76" w:rsidRDefault="001F7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NH HƯ</w:t>
      </w:r>
      <w:r>
        <w:rPr>
          <w:rFonts w:ascii="Times New Roman" w:hAnsi="Times New Roman" w:cs="Times New Roman"/>
          <w:b/>
          <w:sz w:val="28"/>
          <w:szCs w:val="28"/>
        </w:rPr>
        <w:t>Ở</w:t>
      </w:r>
      <w:r>
        <w:rPr>
          <w:rFonts w:ascii="Times New Roman" w:hAnsi="Times New Roman" w:cs="Times New Roman"/>
          <w:b/>
          <w:sz w:val="28"/>
          <w:szCs w:val="28"/>
        </w:rPr>
        <w:t>NG TIÊU C</w:t>
      </w:r>
      <w:r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>C C</w:t>
      </w:r>
      <w:r>
        <w:rPr>
          <w:rFonts w:ascii="Times New Roman" w:hAnsi="Times New Roman" w:cs="Times New Roman"/>
          <w:b/>
          <w:sz w:val="28"/>
          <w:szCs w:val="28"/>
        </w:rPr>
        <w:t>Ủ</w:t>
      </w:r>
      <w:r>
        <w:rPr>
          <w:rFonts w:ascii="Times New Roman" w:hAnsi="Times New Roman" w:cs="Times New Roman"/>
          <w:b/>
          <w:sz w:val="28"/>
          <w:szCs w:val="28"/>
        </w:rPr>
        <w:t>A NƯ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C TH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I CHĂN NUÔI VÀ CÁC GI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I PHÁP S</w:t>
      </w:r>
      <w:r>
        <w:rPr>
          <w:rFonts w:ascii="Times New Roman" w:hAnsi="Times New Roman" w:cs="Times New Roman"/>
          <w:b/>
          <w:sz w:val="28"/>
          <w:szCs w:val="28"/>
        </w:rPr>
        <w:t>Ử</w:t>
      </w:r>
      <w:r>
        <w:rPr>
          <w:rFonts w:ascii="Times New Roman" w:hAnsi="Times New Roman" w:cs="Times New Roman"/>
          <w:b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NG CHO CÂY TR</w:t>
      </w:r>
      <w:r>
        <w:rPr>
          <w:rFonts w:ascii="Times New Roman" w:hAnsi="Times New Roman" w:cs="Times New Roman"/>
          <w:b/>
          <w:sz w:val="28"/>
          <w:szCs w:val="28"/>
        </w:rPr>
        <w:t>Ồ</w:t>
      </w:r>
      <w:r>
        <w:rPr>
          <w:rFonts w:ascii="Times New Roman" w:hAnsi="Times New Roman" w:cs="Times New Roman"/>
          <w:b/>
          <w:sz w:val="28"/>
          <w:szCs w:val="28"/>
        </w:rPr>
        <w:t>NG</w:t>
      </w:r>
    </w:p>
    <w:p w:rsidR="00090876" w:rsidRDefault="001F7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tài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u: B.V.Chính, Tư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KSH)</w:t>
      </w:r>
    </w:p>
    <w:p w:rsidR="00090876" w:rsidRDefault="001F71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nh hư</w:t>
      </w:r>
      <w:r>
        <w:rPr>
          <w:rFonts w:ascii="Times New Roman" w:hAnsi="Times New Roman" w:cs="Times New Roman"/>
          <w:b/>
          <w:sz w:val="28"/>
          <w:szCs w:val="28"/>
        </w:rPr>
        <w:t>ở</w:t>
      </w:r>
      <w:r>
        <w:rPr>
          <w:rFonts w:ascii="Times New Roman" w:hAnsi="Times New Roman" w:cs="Times New Roman"/>
          <w:b/>
          <w:sz w:val="28"/>
          <w:szCs w:val="28"/>
        </w:rPr>
        <w:t>ng tiêu c</w:t>
      </w:r>
      <w:r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>c c</w:t>
      </w:r>
      <w:r>
        <w:rPr>
          <w:rFonts w:ascii="Times New Roman" w:hAnsi="Times New Roman" w:cs="Times New Roman"/>
          <w:b/>
          <w:sz w:val="28"/>
          <w:szCs w:val="28"/>
        </w:rPr>
        <w:t>ủ</w:t>
      </w:r>
      <w:r>
        <w:rPr>
          <w:rFonts w:ascii="Times New Roman" w:hAnsi="Times New Roman" w:cs="Times New Roman"/>
          <w:b/>
          <w:sz w:val="28"/>
          <w:szCs w:val="28"/>
        </w:rPr>
        <w:t>a nư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c th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i chăn nuôi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bao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r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 (phân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t nuôi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khô – d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 xml:space="preserve"> thu gom) và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(bao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 1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r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 và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nuôi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ni-tơ).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r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 làm phân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đã có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công ngh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mang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ích rõ r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t; nhưng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là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khó khăn và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kém (Burton và Turner, 2003; WHO, 2008; Yan Zhiying, 2014).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Chăn nuôi theo qui mô trang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mang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kinh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cao hơn, nhưng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chăn nuôi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làm v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sinh chu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i, </w:t>
      </w: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vùng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có khí 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u nóng, nên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càng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u (WHO, 2008; IAEA, 2008). 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nghĩa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tác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Anh- Burton và Turner (2003),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(slurry)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là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nuôi có l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r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chu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i, hay d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khác. Do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quán r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chu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trang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hay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vùng mi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khác nhau nên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 nuôi có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khô cũng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khác nhau.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khô trong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0,5 – </w:t>
      </w:r>
      <w:r>
        <w:rPr>
          <w:rFonts w:ascii="Times New Roman" w:hAnsi="Times New Roman" w:cs="Times New Roman"/>
          <w:sz w:val="28"/>
          <w:szCs w:val="28"/>
        </w:rPr>
        <w:t>8% (Warnars và Oppenoorth, 2014; Yan Zhiying, 2014).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m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bênh và tr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giun sán, gây ra các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nghèo cho con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và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nuôi. Theo WHO (2008)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loài vi sinh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gây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nh, ch</w:t>
      </w:r>
      <w:r>
        <w:rPr>
          <w:rFonts w:ascii="Times New Roman" w:hAnsi="Times New Roman" w:cs="Times New Roman"/>
          <w:sz w:val="28"/>
          <w:szCs w:val="28"/>
        </w:rPr>
        <w:t>o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nay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ta đã tìm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các loài gây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như sau: Vi khu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có 9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i, nguyên sinh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5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i, virus 14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i, giun sán ký sinh 11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i. Do đó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là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gây lan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các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nguy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như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t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,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l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, thương h</w:t>
      </w:r>
      <w:r>
        <w:rPr>
          <w:rFonts w:ascii="Times New Roman" w:hAnsi="Times New Roman" w:cs="Times New Roman"/>
          <w:sz w:val="28"/>
          <w:szCs w:val="28"/>
        </w:rPr>
        <w:t>àn,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ngh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, giun ph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i, sán máu, sán lá gan … 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trong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cao;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này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BOD, COD.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BOD trong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giao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trong kho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2500 - 4500 mg/l, hàm l</w:t>
      </w:r>
      <w:r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COD giao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trong kho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8500 -13500 mg/l (Vi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c, Chính sách tài nguyên và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ng, 2012); theo qui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 chăn nuôi (QCVN 62 -MT, 2016) thì </w:t>
      </w:r>
      <w:r>
        <w:rPr>
          <w:rFonts w:ascii="Times New Roman" w:hAnsi="Times New Roman" w:cs="Times New Roman"/>
          <w:sz w:val="28"/>
          <w:szCs w:val="28"/>
        </w:rPr>
        <w:lastRenderedPageBreak/>
        <w:t>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sau khi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hơn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BOD: 40-100 mg/l và COD: 100-300 mg/l .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so sánh các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này chúng ta càng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rõ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đòi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n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trong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là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n. 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là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gây ô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chính trên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(Burton và Turner, 2003; WHO, 2008; Yan Zhiying, 2014).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nam đã có 1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ô nh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1 nhà máy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ng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Nai (m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dù trong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này không h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có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i) đã làm ô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1 vùng r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n hàng ngàn hec-ta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 lưu sông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i, làm tôm, cua, cá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hàng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và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sau 4-5 năm chính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và nhân dân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 phương tích c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kh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n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ô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 xml:space="preserve">m này.   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không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lý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gây ra ô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cho các sông su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i,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ao; nhưng nghiêm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hơn là chúng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gây ô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cho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ng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khó khăn cho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kh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c.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cũng gây ra ô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đai khi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và ni-tơ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m vào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làm cho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và ni-tơ làm cho cây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không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(Burt</w:t>
      </w:r>
      <w:r>
        <w:rPr>
          <w:rFonts w:ascii="Times New Roman" w:hAnsi="Times New Roman" w:cs="Times New Roman"/>
          <w:sz w:val="28"/>
          <w:szCs w:val="28"/>
        </w:rPr>
        <w:t xml:space="preserve">on và Turner, 2003; IAEA, 2008). 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còn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 1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kháng sinh t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dư khi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chăn nuôi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cho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nuôi.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kháng sinh t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dư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các loài vi sinh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làm r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sinh thái vi sinh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(Burton và Turner, 2003; WHO 2008). 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Ngoài ra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còn gây mùi hôi khó ch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u cho các vùng chung quanh trang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i,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chúng cũng là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cho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ru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mu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và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cho con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và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nuôi (WHO 20</w:t>
      </w:r>
      <w:r>
        <w:rPr>
          <w:rFonts w:ascii="Times New Roman" w:hAnsi="Times New Roman" w:cs="Times New Roman"/>
          <w:sz w:val="28"/>
          <w:szCs w:val="28"/>
        </w:rPr>
        <w:t>08;Yan Zhiying 2014)</w:t>
      </w:r>
    </w:p>
    <w:p w:rsidR="00090876" w:rsidRDefault="001F714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drawing>
          <wp:inline distT="0" distB="0" distL="0" distR="0">
            <wp:extent cx="2087423" cy="2362810"/>
            <wp:effectExtent l="19050" t="0" r="8077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087423" cy="2362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val="vi-VN" w:eastAsia="vi-VN"/>
        </w:rPr>
        <w:drawing>
          <wp:inline distT="0" distB="0" distL="0" distR="0">
            <wp:extent cx="3353257" cy="2361424"/>
            <wp:effectExtent l="19050" t="0" r="0" b="0"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3353257" cy="23614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76" w:rsidRDefault="001F7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Ô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do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</w:t>
      </w:r>
    </w:p>
    <w:p w:rsidR="00090876" w:rsidRDefault="001F71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 bi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n pháp chính x</w:t>
      </w:r>
      <w:r>
        <w:rPr>
          <w:rFonts w:ascii="Times New Roman" w:hAnsi="Times New Roman" w:cs="Times New Roman"/>
          <w:b/>
          <w:sz w:val="28"/>
          <w:szCs w:val="28"/>
        </w:rPr>
        <w:t>ử</w:t>
      </w:r>
      <w:r>
        <w:rPr>
          <w:rFonts w:ascii="Times New Roman" w:hAnsi="Times New Roman" w:cs="Times New Roman"/>
          <w:b/>
          <w:sz w:val="28"/>
          <w:szCs w:val="28"/>
        </w:rPr>
        <w:t xml:space="preserve"> lý nư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c th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i chăn nuôi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3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pháp chính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(i)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m khí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công ngh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khí sinh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c, (ii)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các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hay các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và t</w:t>
      </w:r>
      <w:r>
        <w:rPr>
          <w:rFonts w:ascii="Times New Roman" w:hAnsi="Times New Roman" w:cs="Times New Roman"/>
          <w:sz w:val="28"/>
          <w:szCs w:val="28"/>
        </w:rPr>
        <w:t>ách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r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 làm phân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cơ, (iii)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khí 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phương pháp th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không khí vào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i. </w:t>
      </w:r>
    </w:p>
    <w:p w:rsidR="00090876" w:rsidRDefault="001F71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ử</w:t>
      </w:r>
      <w:r>
        <w:rPr>
          <w:rFonts w:ascii="Times New Roman" w:hAnsi="Times New Roman" w:cs="Times New Roman"/>
          <w:i/>
          <w:sz w:val="28"/>
          <w:szCs w:val="28"/>
        </w:rPr>
        <w:t xml:space="preserve"> lý nư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>c th</w:t>
      </w:r>
      <w:r>
        <w:rPr>
          <w:rFonts w:ascii="Times New Roman" w:hAnsi="Times New Roman" w:cs="Times New Roman"/>
          <w:i/>
          <w:sz w:val="28"/>
          <w:szCs w:val="28"/>
        </w:rPr>
        <w:t>ả</w:t>
      </w:r>
      <w:r>
        <w:rPr>
          <w:rFonts w:ascii="Times New Roman" w:hAnsi="Times New Roman" w:cs="Times New Roman"/>
          <w:i/>
          <w:sz w:val="28"/>
          <w:szCs w:val="28"/>
        </w:rPr>
        <w:t>i chăn nuôi theo phương pháp y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>m khí b</w:t>
      </w:r>
      <w:r>
        <w:rPr>
          <w:rFonts w:ascii="Times New Roman" w:hAnsi="Times New Roman" w:cs="Times New Roman"/>
          <w:i/>
          <w:sz w:val="28"/>
          <w:szCs w:val="28"/>
        </w:rPr>
        <w:t>ằ</w:t>
      </w:r>
      <w:r>
        <w:rPr>
          <w:rFonts w:ascii="Times New Roman" w:hAnsi="Times New Roman" w:cs="Times New Roman"/>
          <w:i/>
          <w:sz w:val="28"/>
          <w:szCs w:val="28"/>
        </w:rPr>
        <w:t>ng công ngh</w:t>
      </w:r>
      <w:r>
        <w:rPr>
          <w:rFonts w:ascii="Times New Roman" w:hAnsi="Times New Roman" w:cs="Times New Roman"/>
          <w:i/>
          <w:sz w:val="28"/>
          <w:szCs w:val="28"/>
        </w:rPr>
        <w:t>ệ</w:t>
      </w:r>
      <w:r>
        <w:rPr>
          <w:rFonts w:ascii="Times New Roman" w:hAnsi="Times New Roman" w:cs="Times New Roman"/>
          <w:i/>
          <w:sz w:val="28"/>
          <w:szCs w:val="28"/>
        </w:rPr>
        <w:t xml:space="preserve"> KSH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ngh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KSH đã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trong kho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90 năm g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đây, nhưng đã mang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cho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(Tong Boitin, 2014;). Phương pháp này đòi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ra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m khí và có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thu KSH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cho các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đích đun n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u, th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p sáng, cung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t, ch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 máy phát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n…  Theo Burton, Tuner (2003), IAEA (</w:t>
      </w:r>
      <w:r>
        <w:rPr>
          <w:rFonts w:ascii="Times New Roman" w:hAnsi="Times New Roman" w:cs="Times New Roman"/>
          <w:sz w:val="28"/>
          <w:szCs w:val="28"/>
        </w:rPr>
        <w:t>2008), Tong Boitin (2014) thì công ngh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KSH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cao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giá thành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trong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phân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làm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nhanh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BOD, COD trong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 chăn nuôi. </w:t>
      </w:r>
    </w:p>
    <w:p w:rsidR="00090876" w:rsidRDefault="00090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876" w:rsidRDefault="001F714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drawing>
          <wp:inline distT="0" distB="0" distL="0" distR="0">
            <wp:extent cx="3120965" cy="1782646"/>
            <wp:effectExtent l="19050" t="0" r="3235" b="0"/>
            <wp:docPr id="102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3120965" cy="178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val="vi-VN" w:eastAsia="vi-VN"/>
        </w:rPr>
        <w:drawing>
          <wp:inline distT="0" distB="0" distL="0" distR="0">
            <wp:extent cx="2215192" cy="1645138"/>
            <wp:effectExtent l="19050" t="0" r="0" b="0"/>
            <wp:docPr id="102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215192" cy="16451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76" w:rsidRDefault="001F714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4029709</wp:posOffset>
            </wp:positionH>
            <wp:positionV relativeFrom="paragraph">
              <wp:posOffset>550545</wp:posOffset>
            </wp:positionV>
            <wp:extent cx="2999740" cy="1819909"/>
            <wp:effectExtent l="19050" t="0" r="0" b="0"/>
            <wp:wrapTopAndBottom/>
            <wp:docPr id="1030" name="image7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999740" cy="181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090876" w:rsidRDefault="001F714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812165</wp:posOffset>
            </wp:positionH>
            <wp:positionV relativeFrom="paragraph">
              <wp:posOffset>175895</wp:posOffset>
            </wp:positionV>
            <wp:extent cx="2982595" cy="1826260"/>
            <wp:effectExtent l="19050" t="0" r="8255" b="0"/>
            <wp:wrapNone/>
            <wp:docPr id="1031" name="image9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2.jpeg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98259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(đ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gian lưu và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n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p hàng ngày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lý) thì g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như 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các m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và tr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giun sán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tiêu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t, và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cho cây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an toàn và không gây ra lan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các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cho con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và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nuôi (WHO, 200</w:t>
      </w:r>
      <w:r>
        <w:rPr>
          <w:rFonts w:ascii="Times New Roman" w:hAnsi="Times New Roman" w:cs="Times New Roman"/>
          <w:sz w:val="28"/>
          <w:szCs w:val="28"/>
        </w:rPr>
        <w:t>8; IAEA, 2008).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gian lưu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trong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vào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trong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KSH.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trong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20-35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gian lưu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 30-40 ngày,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các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ngoài tr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i), nhưng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cao 50-55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C (v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có 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cung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t)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gian lưu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10-15 ngày (Burton, Tuner, 2003; Eschoborn, 2008; WHO, 2008).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khác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phân n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p phù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cho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ngoài tr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tính theo cách đơn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như sau: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1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</w:t>
      </w:r>
      <w:r>
        <w:rPr>
          <w:rFonts w:ascii="Times New Roman" w:hAnsi="Times New Roman" w:cs="Times New Roman"/>
          <w:sz w:val="28"/>
          <w:szCs w:val="28"/>
        </w:rPr>
        <w:t>H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p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1 con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t có trong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kho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50-60 kg; nhưng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 có 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khu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và cung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n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p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cao hơn 15-20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(Burton, Tuner, 2003; Natural Resources Conservation Service, USA, 2003; Tong Boitin, 2014)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876" w:rsidRDefault="001F71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ử</w:t>
      </w:r>
      <w:r>
        <w:rPr>
          <w:rFonts w:ascii="Times New Roman" w:hAnsi="Times New Roman" w:cs="Times New Roman"/>
          <w:i/>
          <w:sz w:val="28"/>
          <w:szCs w:val="28"/>
        </w:rPr>
        <w:t xml:space="preserve"> lý b</w:t>
      </w:r>
      <w:r>
        <w:rPr>
          <w:rFonts w:ascii="Times New Roman" w:hAnsi="Times New Roman" w:cs="Times New Roman"/>
          <w:i/>
          <w:sz w:val="28"/>
          <w:szCs w:val="28"/>
        </w:rPr>
        <w:t>ằ</w:t>
      </w:r>
      <w:r>
        <w:rPr>
          <w:rFonts w:ascii="Times New Roman" w:hAnsi="Times New Roman" w:cs="Times New Roman"/>
          <w:i/>
          <w:sz w:val="28"/>
          <w:szCs w:val="28"/>
        </w:rPr>
        <w:t>ng các b</w:t>
      </w:r>
      <w:r>
        <w:rPr>
          <w:rFonts w:ascii="Times New Roman" w:hAnsi="Times New Roman" w:cs="Times New Roman"/>
          <w:i/>
          <w:sz w:val="28"/>
          <w:szCs w:val="28"/>
        </w:rPr>
        <w:t>ể</w:t>
      </w:r>
      <w:r>
        <w:rPr>
          <w:rFonts w:ascii="Times New Roman" w:hAnsi="Times New Roman" w:cs="Times New Roman"/>
          <w:i/>
          <w:sz w:val="28"/>
          <w:szCs w:val="28"/>
        </w:rPr>
        <w:t xml:space="preserve"> l</w:t>
      </w:r>
      <w:r>
        <w:rPr>
          <w:rFonts w:ascii="Times New Roman" w:hAnsi="Times New Roman" w:cs="Times New Roman"/>
          <w:i/>
          <w:sz w:val="28"/>
          <w:szCs w:val="28"/>
        </w:rPr>
        <w:t>ắ</w:t>
      </w:r>
      <w:r>
        <w:rPr>
          <w:rFonts w:ascii="Times New Roman" w:hAnsi="Times New Roman" w:cs="Times New Roman"/>
          <w:i/>
          <w:sz w:val="28"/>
          <w:szCs w:val="28"/>
        </w:rPr>
        <w:t>ng hay các h</w:t>
      </w:r>
      <w:r>
        <w:rPr>
          <w:rFonts w:ascii="Times New Roman" w:hAnsi="Times New Roman" w:cs="Times New Roman"/>
          <w:i/>
          <w:sz w:val="28"/>
          <w:szCs w:val="28"/>
        </w:rPr>
        <w:t>ồ</w:t>
      </w:r>
      <w:r>
        <w:rPr>
          <w:rFonts w:ascii="Times New Roman" w:hAnsi="Times New Roman" w:cs="Times New Roman"/>
          <w:i/>
          <w:sz w:val="28"/>
          <w:szCs w:val="28"/>
        </w:rPr>
        <w:t xml:space="preserve"> l</w:t>
      </w:r>
      <w:r>
        <w:rPr>
          <w:rFonts w:ascii="Times New Roman" w:hAnsi="Times New Roman" w:cs="Times New Roman"/>
          <w:i/>
          <w:sz w:val="28"/>
          <w:szCs w:val="28"/>
        </w:rPr>
        <w:t>ắ</w:t>
      </w:r>
      <w:r>
        <w:rPr>
          <w:rFonts w:ascii="Times New Roman" w:hAnsi="Times New Roman" w:cs="Times New Roman"/>
          <w:i/>
          <w:sz w:val="28"/>
          <w:szCs w:val="28"/>
        </w:rPr>
        <w:t>ng và tách ch</w:t>
      </w:r>
      <w:r>
        <w:rPr>
          <w:rFonts w:ascii="Times New Roman" w:hAnsi="Times New Roman" w:cs="Times New Roman"/>
          <w:i/>
          <w:sz w:val="28"/>
          <w:szCs w:val="28"/>
        </w:rPr>
        <w:t>ấ</w:t>
      </w:r>
      <w:r>
        <w:rPr>
          <w:rFonts w:ascii="Times New Roman" w:hAnsi="Times New Roman" w:cs="Times New Roman"/>
          <w:i/>
          <w:sz w:val="28"/>
          <w:szCs w:val="28"/>
        </w:rPr>
        <w:t>t th</w:t>
      </w:r>
      <w:r>
        <w:rPr>
          <w:rFonts w:ascii="Times New Roman" w:hAnsi="Times New Roman" w:cs="Times New Roman"/>
          <w:i/>
          <w:sz w:val="28"/>
          <w:szCs w:val="28"/>
        </w:rPr>
        <w:t>ả</w:t>
      </w:r>
      <w:r>
        <w:rPr>
          <w:rFonts w:ascii="Times New Roman" w:hAnsi="Times New Roman" w:cs="Times New Roman"/>
          <w:i/>
          <w:sz w:val="28"/>
          <w:szCs w:val="28"/>
        </w:rPr>
        <w:t>i r</w:t>
      </w:r>
      <w:r>
        <w:rPr>
          <w:rFonts w:ascii="Times New Roman" w:hAnsi="Times New Roman" w:cs="Times New Roman"/>
          <w:i/>
          <w:sz w:val="28"/>
          <w:szCs w:val="28"/>
        </w:rPr>
        <w:t>ắ</w:t>
      </w:r>
      <w:r>
        <w:rPr>
          <w:rFonts w:ascii="Times New Roman" w:hAnsi="Times New Roman" w:cs="Times New Roman"/>
          <w:i/>
          <w:sz w:val="28"/>
          <w:szCs w:val="28"/>
        </w:rPr>
        <w:t>n làm phân h</w:t>
      </w:r>
      <w:r>
        <w:rPr>
          <w:rFonts w:ascii="Times New Roman" w:hAnsi="Times New Roman" w:cs="Times New Roman"/>
          <w:i/>
          <w:sz w:val="28"/>
          <w:szCs w:val="28"/>
        </w:rPr>
        <w:t>ữ</w:t>
      </w:r>
      <w:r>
        <w:rPr>
          <w:rFonts w:ascii="Times New Roman" w:hAnsi="Times New Roman" w:cs="Times New Roman"/>
          <w:i/>
          <w:sz w:val="28"/>
          <w:szCs w:val="28"/>
        </w:rPr>
        <w:t>u cơ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Phương pháp này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các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xu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đáy, sau 1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gian sau đó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ta bơm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ra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ru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 xml:space="preserve">c và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xe b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n.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ta cũng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các 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tách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r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làm nguyên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phân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u cơ.   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ra trong quá trình lưu tr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i,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các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p 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m khí nên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vi sinh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phân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các c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tương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như trong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KSH, nhưng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đây KSH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thoát vào khí quy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gây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nhà kính.  Tuy nhiên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nghiên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u đã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trong phương pháp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này kh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năng t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m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là khá dài. Đã có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ta đã tìm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khi lưu tr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 theo phương pháp này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thòi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sau 100 -120 ngày. 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Phương pháp lưu tr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các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 là khá ph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và Canada nơi các trang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có quĩ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n. Tuy nhiên chính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yêu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các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a,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không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là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có t</w:t>
      </w:r>
      <w:r>
        <w:rPr>
          <w:rFonts w:ascii="Times New Roman" w:hAnsi="Times New Roman" w:cs="Times New Roman"/>
          <w:sz w:val="28"/>
          <w:szCs w:val="28"/>
        </w:rPr>
        <w:t>ỷ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sét cao (không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m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c) thì 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các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lót 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m nh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a PE ha</w:t>
      </w:r>
      <w:r>
        <w:rPr>
          <w:rFonts w:ascii="Times New Roman" w:hAnsi="Times New Roman" w:cs="Times New Roman"/>
          <w:sz w:val="28"/>
          <w:szCs w:val="28"/>
        </w:rPr>
        <w:t xml:space="preserve">y HDPE. 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Phương pháp này tuy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tư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nhưng cũng gây ô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mùi,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đây là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cho ru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mu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n. ngoài ra còn đe d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a ô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cho các vùng lân c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khi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các tr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t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(Burton, Tuner, 2003; IAEA, 2008; Tong Boitin, 201</w:t>
      </w:r>
      <w:r>
        <w:rPr>
          <w:rFonts w:ascii="Times New Roman" w:hAnsi="Times New Roman" w:cs="Times New Roman"/>
          <w:sz w:val="28"/>
          <w:szCs w:val="28"/>
        </w:rPr>
        <w:t xml:space="preserve">4)  </w:t>
      </w:r>
    </w:p>
    <w:p w:rsidR="00090876" w:rsidRDefault="001F71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ử</w:t>
      </w:r>
      <w:r>
        <w:rPr>
          <w:rFonts w:ascii="Times New Roman" w:hAnsi="Times New Roman" w:cs="Times New Roman"/>
          <w:i/>
          <w:sz w:val="28"/>
          <w:szCs w:val="28"/>
        </w:rPr>
        <w:t xml:space="preserve"> lý hi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>u khí  b</w:t>
      </w:r>
      <w:r>
        <w:rPr>
          <w:rFonts w:ascii="Times New Roman" w:hAnsi="Times New Roman" w:cs="Times New Roman"/>
          <w:i/>
          <w:sz w:val="28"/>
          <w:szCs w:val="28"/>
        </w:rPr>
        <w:t>ằ</w:t>
      </w:r>
      <w:r>
        <w:rPr>
          <w:rFonts w:ascii="Times New Roman" w:hAnsi="Times New Roman" w:cs="Times New Roman"/>
          <w:i/>
          <w:sz w:val="28"/>
          <w:szCs w:val="28"/>
        </w:rPr>
        <w:t>ng phương pháp th</w:t>
      </w:r>
      <w:r>
        <w:rPr>
          <w:rFonts w:ascii="Times New Roman" w:hAnsi="Times New Roman" w:cs="Times New Roman"/>
          <w:i/>
          <w:sz w:val="28"/>
          <w:szCs w:val="28"/>
        </w:rPr>
        <w:t>ổ</w:t>
      </w:r>
      <w:r>
        <w:rPr>
          <w:rFonts w:ascii="Times New Roman" w:hAnsi="Times New Roman" w:cs="Times New Roman"/>
          <w:i/>
          <w:sz w:val="28"/>
          <w:szCs w:val="28"/>
        </w:rPr>
        <w:t>i không khí vào nư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>c th</w:t>
      </w:r>
      <w:r>
        <w:rPr>
          <w:rFonts w:ascii="Times New Roman" w:hAnsi="Times New Roman" w:cs="Times New Roman"/>
          <w:i/>
          <w:sz w:val="28"/>
          <w:szCs w:val="28"/>
        </w:rPr>
        <w:t>ả</w:t>
      </w:r>
      <w:r>
        <w:rPr>
          <w:rFonts w:ascii="Times New Roman" w:hAnsi="Times New Roman" w:cs="Times New Roman"/>
          <w:i/>
          <w:sz w:val="28"/>
          <w:szCs w:val="28"/>
        </w:rPr>
        <w:t>i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ra phương pháp này cũng có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hay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thu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ng, nhưng,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tích các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hơn.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hay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cùng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ta th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không khí vào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cung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ô- xy cho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vi sinh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khí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phân 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cơ. Phương pháp này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nhưng chi phí năng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cao, do đó cũng không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áp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r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ng rãi (Burton, Turner, 2003; IAEA, 2008).</w:t>
      </w:r>
    </w:p>
    <w:p w:rsidR="00090876" w:rsidRDefault="00090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876" w:rsidRDefault="00090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876" w:rsidRDefault="001F71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sz w:val="28"/>
          <w:szCs w:val="28"/>
        </w:rPr>
        <w:t>ử</w:t>
      </w:r>
      <w:r>
        <w:rPr>
          <w:rFonts w:ascii="Times New Roman" w:hAnsi="Times New Roman" w:cs="Times New Roman"/>
          <w:b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ng nư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c th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i, bã th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i chăn nuôi cho câ</w:t>
      </w:r>
      <w:r>
        <w:rPr>
          <w:rFonts w:ascii="Times New Roman" w:hAnsi="Times New Roman" w:cs="Times New Roman"/>
          <w:b/>
          <w:sz w:val="28"/>
          <w:szCs w:val="28"/>
        </w:rPr>
        <w:t>y tr</w:t>
      </w:r>
      <w:r>
        <w:rPr>
          <w:rFonts w:ascii="Times New Roman" w:hAnsi="Times New Roman" w:cs="Times New Roman"/>
          <w:b/>
          <w:sz w:val="28"/>
          <w:szCs w:val="28"/>
        </w:rPr>
        <w:t>ồ</w:t>
      </w:r>
      <w:r>
        <w:rPr>
          <w:rFonts w:ascii="Times New Roman" w:hAnsi="Times New Roman" w:cs="Times New Roman"/>
          <w:b/>
          <w:sz w:val="28"/>
          <w:szCs w:val="28"/>
        </w:rPr>
        <w:t>ng</w:t>
      </w:r>
    </w:p>
    <w:p w:rsidR="00090876" w:rsidRDefault="001F714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(i) không gây ra lan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các m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cho con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và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nuôi, (ii)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đã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phân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thành các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dinh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cho cây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ng.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sau khi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giàu các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dinh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 cho cây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090876" w:rsidRDefault="001F7146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Giá tr</w:t>
      </w:r>
      <w:r>
        <w:rPr>
          <w:rFonts w:ascii="Times New Roman" w:hAnsi="Times New Roman" w:cs="Times New Roman"/>
          <w:b/>
          <w:i/>
          <w:sz w:val="28"/>
          <w:szCs w:val="28"/>
        </w:rPr>
        <w:t>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dinh dư</w:t>
      </w:r>
      <w:r>
        <w:rPr>
          <w:rFonts w:ascii="Times New Roman" w:hAnsi="Times New Roman" w:cs="Times New Roman"/>
          <w:b/>
          <w:i/>
          <w:sz w:val="28"/>
          <w:szCs w:val="28"/>
        </w:rPr>
        <w:t>ỡ</w:t>
      </w:r>
      <w:r>
        <w:rPr>
          <w:rFonts w:ascii="Times New Roman" w:hAnsi="Times New Roman" w:cs="Times New Roman"/>
          <w:b/>
          <w:i/>
          <w:sz w:val="28"/>
          <w:szCs w:val="28"/>
        </w:rPr>
        <w:t>ng c</w:t>
      </w:r>
      <w:r>
        <w:rPr>
          <w:rFonts w:ascii="Times New Roman" w:hAnsi="Times New Roman" w:cs="Times New Roman"/>
          <w:b/>
          <w:i/>
          <w:sz w:val="28"/>
          <w:szCs w:val="28"/>
        </w:rPr>
        <w:t>ủ</w:t>
      </w:r>
      <w:r>
        <w:rPr>
          <w:rFonts w:ascii="Times New Roman" w:hAnsi="Times New Roman" w:cs="Times New Roman"/>
          <w:b/>
          <w:i/>
          <w:sz w:val="28"/>
          <w:szCs w:val="28"/>
        </w:rPr>
        <w:t>a nư</w:t>
      </w:r>
      <w:r>
        <w:rPr>
          <w:rFonts w:ascii="Times New Roman" w:hAnsi="Times New Roman" w:cs="Times New Roman"/>
          <w:b/>
          <w:i/>
          <w:sz w:val="28"/>
          <w:szCs w:val="28"/>
        </w:rPr>
        <w:t>ớ</w:t>
      </w:r>
      <w:r>
        <w:rPr>
          <w:rFonts w:ascii="Times New Roman" w:hAnsi="Times New Roman" w:cs="Times New Roman"/>
          <w:b/>
          <w:i/>
          <w:sz w:val="28"/>
          <w:szCs w:val="28"/>
        </w:rPr>
        <w:t>c th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>i và bã th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>i đ</w:t>
      </w:r>
      <w:r>
        <w:rPr>
          <w:rFonts w:ascii="Times New Roman" w:hAnsi="Times New Roman" w:cs="Times New Roman"/>
          <w:b/>
          <w:i/>
          <w:sz w:val="28"/>
          <w:szCs w:val="28"/>
        </w:rPr>
        <w:t>ố</w:t>
      </w:r>
      <w:r>
        <w:rPr>
          <w:rFonts w:ascii="Times New Roman" w:hAnsi="Times New Roman" w:cs="Times New Roman"/>
          <w:b/>
          <w:i/>
          <w:sz w:val="28"/>
          <w:szCs w:val="28"/>
        </w:rPr>
        <w:t>i v</w:t>
      </w:r>
      <w:r>
        <w:rPr>
          <w:rFonts w:ascii="Times New Roman" w:hAnsi="Times New Roman" w:cs="Times New Roman"/>
          <w:b/>
          <w:i/>
          <w:sz w:val="28"/>
          <w:szCs w:val="28"/>
        </w:rPr>
        <w:t>ớ</w:t>
      </w:r>
      <w:r>
        <w:rPr>
          <w:rFonts w:ascii="Times New Roman" w:hAnsi="Times New Roman" w:cs="Times New Roman"/>
          <w:b/>
          <w:i/>
          <w:sz w:val="28"/>
          <w:szCs w:val="28"/>
        </w:rPr>
        <w:t>i cây tr</w:t>
      </w:r>
      <w:r>
        <w:rPr>
          <w:rFonts w:ascii="Times New Roman" w:hAnsi="Times New Roman" w:cs="Times New Roman"/>
          <w:b/>
          <w:i/>
          <w:sz w:val="28"/>
          <w:szCs w:val="28"/>
        </w:rPr>
        <w:t>ồ</w:t>
      </w:r>
      <w:r>
        <w:rPr>
          <w:rFonts w:ascii="Times New Roman" w:hAnsi="Times New Roman" w:cs="Times New Roman"/>
          <w:b/>
          <w:i/>
          <w:sz w:val="28"/>
          <w:szCs w:val="28"/>
        </w:rPr>
        <w:t>ng</w:t>
      </w:r>
    </w:p>
    <w:p w:rsidR="00090876" w:rsidRDefault="001F714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tài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ta quan tâm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các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dinh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 trong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và bã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KSH. Nhưng do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r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chu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khác nhau nên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các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dinh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 cũng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khác nhau.</w:t>
      </w:r>
    </w:p>
    <w:p w:rsidR="00090876" w:rsidRDefault="001F71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>ng 1 Hàm lư</w:t>
      </w:r>
      <w:r>
        <w:rPr>
          <w:rFonts w:ascii="Times New Roman" w:hAnsi="Times New Roman" w:cs="Times New Roman"/>
          <w:b/>
          <w:i/>
          <w:sz w:val="28"/>
          <w:szCs w:val="28"/>
        </w:rPr>
        <w:t>ợ</w:t>
      </w:r>
      <w:r>
        <w:rPr>
          <w:rFonts w:ascii="Times New Roman" w:hAnsi="Times New Roman" w:cs="Times New Roman"/>
          <w:b/>
          <w:i/>
          <w:sz w:val="28"/>
          <w:szCs w:val="28"/>
        </w:rPr>
        <w:t>ng các ch</w:t>
      </w:r>
      <w:r>
        <w:rPr>
          <w:rFonts w:ascii="Times New Roman" w:hAnsi="Times New Roman" w:cs="Times New Roman"/>
          <w:b/>
          <w:i/>
          <w:sz w:val="28"/>
          <w:szCs w:val="28"/>
        </w:rPr>
        <w:t>ấ</w:t>
      </w:r>
      <w:r>
        <w:rPr>
          <w:rFonts w:ascii="Times New Roman" w:hAnsi="Times New Roman" w:cs="Times New Roman"/>
          <w:b/>
          <w:i/>
          <w:sz w:val="28"/>
          <w:szCs w:val="28"/>
        </w:rPr>
        <w:t>t dinh dư</w:t>
      </w:r>
      <w:r>
        <w:rPr>
          <w:rFonts w:ascii="Times New Roman" w:hAnsi="Times New Roman" w:cs="Times New Roman"/>
          <w:b/>
          <w:i/>
          <w:sz w:val="28"/>
          <w:szCs w:val="28"/>
        </w:rPr>
        <w:t>ỡ</w:t>
      </w:r>
      <w:r>
        <w:rPr>
          <w:rFonts w:ascii="Times New Roman" w:hAnsi="Times New Roman" w:cs="Times New Roman"/>
          <w:b/>
          <w:i/>
          <w:sz w:val="28"/>
          <w:szCs w:val="28"/>
        </w:rPr>
        <w:t>ng c</w:t>
      </w:r>
      <w:r>
        <w:rPr>
          <w:rFonts w:ascii="Times New Roman" w:hAnsi="Times New Roman" w:cs="Times New Roman"/>
          <w:b/>
          <w:i/>
          <w:sz w:val="28"/>
          <w:szCs w:val="28"/>
        </w:rPr>
        <w:t>ủ</w:t>
      </w:r>
      <w:r>
        <w:rPr>
          <w:rFonts w:ascii="Times New Roman" w:hAnsi="Times New Roman" w:cs="Times New Roman"/>
          <w:b/>
          <w:i/>
          <w:sz w:val="28"/>
          <w:szCs w:val="28"/>
        </w:rPr>
        <w:t>a bã th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>i l</w:t>
      </w:r>
      <w:r>
        <w:rPr>
          <w:rFonts w:ascii="Times New Roman" w:hAnsi="Times New Roman" w:cs="Times New Roman"/>
          <w:b/>
          <w:i/>
          <w:sz w:val="28"/>
          <w:szCs w:val="28"/>
        </w:rPr>
        <w:t>ắ</w:t>
      </w:r>
      <w:r>
        <w:rPr>
          <w:rFonts w:ascii="Times New Roman" w:hAnsi="Times New Roman" w:cs="Times New Roman"/>
          <w:b/>
          <w:i/>
          <w:sz w:val="28"/>
          <w:szCs w:val="28"/>
        </w:rPr>
        <w:t>ng đ</w:t>
      </w:r>
      <w:r>
        <w:rPr>
          <w:rFonts w:ascii="Times New Roman" w:hAnsi="Times New Roman" w:cs="Times New Roman"/>
          <w:b/>
          <w:i/>
          <w:sz w:val="28"/>
          <w:szCs w:val="28"/>
        </w:rPr>
        <w:t>ọ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ng 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709"/>
        <w:gridCol w:w="1806"/>
        <w:gridCol w:w="957"/>
        <w:gridCol w:w="957"/>
        <w:gridCol w:w="958"/>
        <w:gridCol w:w="958"/>
        <w:gridCol w:w="958"/>
        <w:gridCol w:w="2620"/>
      </w:tblGrid>
      <w:tr w:rsidR="00090876">
        <w:tc>
          <w:tcPr>
            <w:tcW w:w="709" w:type="dxa"/>
          </w:tcPr>
          <w:p w:rsidR="00090876" w:rsidRDefault="000908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6" w:type="dxa"/>
          </w:tcPr>
          <w:p w:rsidR="00090876" w:rsidRDefault="000908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bã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57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Nitơ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kg/m3</w:t>
            </w:r>
          </w:p>
        </w:tc>
        <w:tc>
          <w:tcPr>
            <w:tcW w:w="957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NPK, </w:t>
            </w: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kg/m3</w:t>
            </w:r>
          </w:p>
        </w:tc>
        <w:tc>
          <w:tcPr>
            <w:tcW w:w="958" w:type="dxa"/>
          </w:tcPr>
          <w:p w:rsidR="00090876" w:rsidRDefault="000908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0876" w:rsidRDefault="001F71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090876" w:rsidRDefault="001F71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kg/m3 </w:t>
            </w:r>
          </w:p>
        </w:tc>
        <w:tc>
          <w:tcPr>
            <w:tcW w:w="958" w:type="dxa"/>
          </w:tcPr>
          <w:p w:rsidR="00090876" w:rsidRDefault="000908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kg/m3</w:t>
            </w:r>
          </w:p>
        </w:tc>
        <w:tc>
          <w:tcPr>
            <w:tcW w:w="958" w:type="dxa"/>
          </w:tcPr>
          <w:p w:rsidR="00090876" w:rsidRDefault="00090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MgO</w:t>
            </w: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kg/m3</w:t>
            </w:r>
          </w:p>
        </w:tc>
        <w:tc>
          <w:tcPr>
            <w:tcW w:w="2620" w:type="dxa"/>
          </w:tcPr>
          <w:p w:rsidR="00090876" w:rsidRDefault="000908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Tác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Bã th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KSH qui mô l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Hòa Liên Bang 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4,0-5,1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1,6-9,2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4,2-6,2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Kurt Muller, 2012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Bã th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trong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 (4% CK)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0,4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Burton và Turner, 2003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Bã th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KSH qui mô nông 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Nicaragua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8,0-15,0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4,0-6,0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0,6-1,2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Warnars và Oppenoorth,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2014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Bã th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KSH qui mô nông 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Châu Phi,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Eschborn, 2008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BT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KSH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Trung Qu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12,87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28,81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Zheng Shixuan, 2014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BT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KSH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Trung Trung Qu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24,25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72,64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Zheng Shixuan, 2014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BT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KSH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Nam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Trung Qu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11,31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50,33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Zheng Shixuan, 2014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BT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KSH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Nam-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NNVN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CN- SNV, 2011</w:t>
            </w:r>
          </w:p>
        </w:tc>
      </w:tr>
    </w:tbl>
    <w:p w:rsidR="00090876" w:rsidRDefault="00090876">
      <w:pPr>
        <w:ind w:left="360"/>
        <w:jc w:val="both"/>
        <w:rPr>
          <w:sz w:val="28"/>
          <w:szCs w:val="28"/>
        </w:rPr>
      </w:pPr>
    </w:p>
    <w:p w:rsidR="00090876" w:rsidRDefault="001F71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B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>ng 2 Hàm lư</w:t>
      </w:r>
      <w:r>
        <w:rPr>
          <w:rFonts w:ascii="Times New Roman" w:hAnsi="Times New Roman" w:cs="Times New Roman"/>
          <w:b/>
          <w:i/>
          <w:sz w:val="28"/>
          <w:szCs w:val="28"/>
        </w:rPr>
        <w:t>ợ</w:t>
      </w:r>
      <w:r>
        <w:rPr>
          <w:rFonts w:ascii="Times New Roman" w:hAnsi="Times New Roman" w:cs="Times New Roman"/>
          <w:b/>
          <w:i/>
          <w:sz w:val="28"/>
          <w:szCs w:val="28"/>
        </w:rPr>
        <w:t>ng các ch</w:t>
      </w:r>
      <w:r>
        <w:rPr>
          <w:rFonts w:ascii="Times New Roman" w:hAnsi="Times New Roman" w:cs="Times New Roman"/>
          <w:b/>
          <w:i/>
          <w:sz w:val="28"/>
          <w:szCs w:val="28"/>
        </w:rPr>
        <w:t>ấ</w:t>
      </w:r>
      <w:r>
        <w:rPr>
          <w:rFonts w:ascii="Times New Roman" w:hAnsi="Times New Roman" w:cs="Times New Roman"/>
          <w:b/>
          <w:i/>
          <w:sz w:val="28"/>
          <w:szCs w:val="28"/>
        </w:rPr>
        <w:t>t dinh dư</w:t>
      </w:r>
      <w:r>
        <w:rPr>
          <w:rFonts w:ascii="Times New Roman" w:hAnsi="Times New Roman" w:cs="Times New Roman"/>
          <w:b/>
          <w:i/>
          <w:sz w:val="28"/>
          <w:szCs w:val="28"/>
        </w:rPr>
        <w:t>ỡ</w:t>
      </w:r>
      <w:r>
        <w:rPr>
          <w:rFonts w:ascii="Times New Roman" w:hAnsi="Times New Roman" w:cs="Times New Roman"/>
          <w:b/>
          <w:i/>
          <w:sz w:val="28"/>
          <w:szCs w:val="28"/>
        </w:rPr>
        <w:t>ng c</w:t>
      </w:r>
      <w:r>
        <w:rPr>
          <w:rFonts w:ascii="Times New Roman" w:hAnsi="Times New Roman" w:cs="Times New Roman"/>
          <w:b/>
          <w:i/>
          <w:sz w:val="28"/>
          <w:szCs w:val="28"/>
        </w:rPr>
        <w:t>ủ</w:t>
      </w:r>
      <w:r>
        <w:rPr>
          <w:rFonts w:ascii="Times New Roman" w:hAnsi="Times New Roman" w:cs="Times New Roman"/>
          <w:b/>
          <w:i/>
          <w:sz w:val="28"/>
          <w:szCs w:val="28"/>
        </w:rPr>
        <w:t>a nư</w:t>
      </w:r>
      <w:r>
        <w:rPr>
          <w:rFonts w:ascii="Times New Roman" w:hAnsi="Times New Roman" w:cs="Times New Roman"/>
          <w:b/>
          <w:i/>
          <w:sz w:val="28"/>
          <w:szCs w:val="28"/>
        </w:rPr>
        <w:t>ớ</w:t>
      </w:r>
      <w:r>
        <w:rPr>
          <w:rFonts w:ascii="Times New Roman" w:hAnsi="Times New Roman" w:cs="Times New Roman"/>
          <w:b/>
          <w:i/>
          <w:sz w:val="28"/>
          <w:szCs w:val="28"/>
        </w:rPr>
        <w:t>c x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709"/>
        <w:gridCol w:w="1806"/>
        <w:gridCol w:w="957"/>
        <w:gridCol w:w="957"/>
        <w:gridCol w:w="958"/>
        <w:gridCol w:w="958"/>
        <w:gridCol w:w="958"/>
        <w:gridCol w:w="2620"/>
      </w:tblGrid>
      <w:tr w:rsidR="00090876">
        <w:tc>
          <w:tcPr>
            <w:tcW w:w="709" w:type="dxa"/>
          </w:tcPr>
          <w:p w:rsidR="00090876" w:rsidRDefault="000908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6" w:type="dxa"/>
          </w:tcPr>
          <w:p w:rsidR="00090876" w:rsidRDefault="000908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x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</w:p>
        </w:tc>
        <w:tc>
          <w:tcPr>
            <w:tcW w:w="957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Nitơ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kg/m3</w:t>
            </w:r>
          </w:p>
        </w:tc>
        <w:tc>
          <w:tcPr>
            <w:tcW w:w="957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NPK, </w:t>
            </w: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kg/m3</w:t>
            </w:r>
          </w:p>
        </w:tc>
        <w:tc>
          <w:tcPr>
            <w:tcW w:w="958" w:type="dxa"/>
          </w:tcPr>
          <w:p w:rsidR="00090876" w:rsidRDefault="000908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0876" w:rsidRDefault="001F71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090876" w:rsidRDefault="001F71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kg/m3 </w:t>
            </w:r>
          </w:p>
        </w:tc>
        <w:tc>
          <w:tcPr>
            <w:tcW w:w="958" w:type="dxa"/>
          </w:tcPr>
          <w:p w:rsidR="00090876" w:rsidRDefault="000908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kg/m3</w:t>
            </w:r>
          </w:p>
        </w:tc>
        <w:tc>
          <w:tcPr>
            <w:tcW w:w="958" w:type="dxa"/>
          </w:tcPr>
          <w:p w:rsidR="00090876" w:rsidRDefault="00090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MgO</w:t>
            </w: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kg/m3</w:t>
            </w:r>
          </w:p>
        </w:tc>
        <w:tc>
          <w:tcPr>
            <w:tcW w:w="2620" w:type="dxa"/>
          </w:tcPr>
          <w:p w:rsidR="00090876" w:rsidRDefault="000908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Tác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(ch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 khô &lt; 1%)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Burton và Turner, 2003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NX 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KSH qui mô nông 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Nicaragua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0,3-0,8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0,2-0,6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0,5-1,0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Warnars và Oppenoorth, 2014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NX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KSH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Trung Qu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0,46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1,53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Zheng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Shixuan, 2014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NX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KSH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Trung Trung Qu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1,97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5,64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Zheng Shixuan, 2014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NX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KSH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Nam Trung Qu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Zheng Shixuan, 2014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NX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KSH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Nam-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Nông Hóa, 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CN- SNV, 2011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NX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KSH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Nam-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NNVN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0,24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1,22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CN- SNV, 2011</w:t>
            </w:r>
          </w:p>
        </w:tc>
      </w:tr>
      <w:tr w:rsidR="00090876">
        <w:tc>
          <w:tcPr>
            <w:tcW w:w="709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06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KSH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Nam-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Chăn Nuôi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  <w:tc>
          <w:tcPr>
            <w:tcW w:w="957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2620" w:type="dxa"/>
          </w:tcPr>
          <w:p w:rsidR="00090876" w:rsidRDefault="001F7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CN- SNV, 2011</w:t>
            </w:r>
          </w:p>
        </w:tc>
      </w:tr>
    </w:tbl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các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dinh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 cho cây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trong bã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cũng như trong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các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c gia khác nhau </w:t>
      </w:r>
      <w:r>
        <w:rPr>
          <w:rFonts w:ascii="Times New Roman" w:hAnsi="Times New Roman" w:cs="Times New Roman"/>
          <w:sz w:val="28"/>
          <w:szCs w:val="28"/>
        </w:rPr>
        <w:t>là khác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nhau. B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vì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r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chu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vùng là hoàn toàn khác nhau.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sau khi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phân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có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pH g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trung tính nên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phù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cho cây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so sánh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dinh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 trong phân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(tiêu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phân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chăn nuôi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Trung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c) thì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thi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dinh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 chính như sau: Nitơ  ≥ 5 kg/t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n,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≥ 3kg/t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n; K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 ≥ 10 kg/t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(Yinzhang Liao, 2014); như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bã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và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có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dinh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 khá cao</w:t>
      </w:r>
      <w:r>
        <w:rPr>
          <w:rFonts w:ascii="Times New Roman" w:hAnsi="Times New Roman" w:cs="Times New Roman"/>
          <w:sz w:val="28"/>
          <w:szCs w:val="28"/>
        </w:rPr>
        <w:t xml:space="preserve"> và chúng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coi là 1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phân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có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và an toàn. </w:t>
      </w:r>
    </w:p>
    <w:p w:rsidR="00090876" w:rsidRDefault="00090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876" w:rsidRDefault="001F71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>
        <w:rPr>
          <w:rFonts w:ascii="Times New Roman" w:hAnsi="Times New Roman" w:cs="Times New Roman"/>
          <w:b/>
          <w:i/>
          <w:sz w:val="28"/>
          <w:szCs w:val="28"/>
        </w:rPr>
        <w:t>ử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i/>
          <w:sz w:val="28"/>
          <w:szCs w:val="28"/>
        </w:rPr>
        <w:t>ụ</w:t>
      </w:r>
      <w:r>
        <w:rPr>
          <w:rFonts w:ascii="Times New Roman" w:hAnsi="Times New Roman" w:cs="Times New Roman"/>
          <w:b/>
          <w:i/>
          <w:sz w:val="28"/>
          <w:szCs w:val="28"/>
        </w:rPr>
        <w:t>ng nư</w:t>
      </w:r>
      <w:r>
        <w:rPr>
          <w:rFonts w:ascii="Times New Roman" w:hAnsi="Times New Roman" w:cs="Times New Roman"/>
          <w:b/>
          <w:i/>
          <w:sz w:val="28"/>
          <w:szCs w:val="28"/>
        </w:rPr>
        <w:t>ớ</w:t>
      </w:r>
      <w:r>
        <w:rPr>
          <w:rFonts w:ascii="Times New Roman" w:hAnsi="Times New Roman" w:cs="Times New Roman"/>
          <w:b/>
          <w:i/>
          <w:sz w:val="28"/>
          <w:szCs w:val="28"/>
        </w:rPr>
        <w:t>c th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>i, bã th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>i cho cây tr</w:t>
      </w:r>
      <w:r>
        <w:rPr>
          <w:rFonts w:ascii="Times New Roman" w:hAnsi="Times New Roman" w:cs="Times New Roman"/>
          <w:b/>
          <w:i/>
          <w:sz w:val="28"/>
          <w:szCs w:val="28"/>
        </w:rPr>
        <w:t>ồ</w:t>
      </w:r>
      <w:r>
        <w:rPr>
          <w:rFonts w:ascii="Times New Roman" w:hAnsi="Times New Roman" w:cs="Times New Roman"/>
          <w:b/>
          <w:i/>
          <w:sz w:val="28"/>
          <w:szCs w:val="28"/>
        </w:rPr>
        <w:t>ng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1857375</wp:posOffset>
            </wp:positionV>
            <wp:extent cx="2706370" cy="1923415"/>
            <wp:effectExtent l="19050" t="0" r="0" b="0"/>
            <wp:wrapTopAndBottom/>
            <wp:docPr id="1032" name="image19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9.jpeg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270637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Do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và bã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hay s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như bùn nên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ra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ru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khá ph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p.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ta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2 phương pháp chính nh</w:t>
      </w:r>
      <w:r>
        <w:rPr>
          <w:rFonts w:ascii="Times New Roman" w:hAnsi="Times New Roman" w:cs="Times New Roman"/>
          <w:sz w:val="28"/>
          <w:szCs w:val="28"/>
        </w:rPr>
        <w:t>ư sau: (i) dùng bơm đ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y qua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ra các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 ngoài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ng,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đó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cho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cây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ng; (ii) dùng xe b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ra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ru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hay bơm vào các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ngoài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(</w:t>
      </w:r>
      <w:r>
        <w:rPr>
          <w:rFonts w:ascii="Times New Roman" w:hAnsi="Times New Roman" w:cs="Times New Roman"/>
          <w:color w:val="000000"/>
          <w:sz w:val="28"/>
          <w:szCs w:val="28"/>
        </w:rPr>
        <w:t>Burton và Turner, 2003)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3875058</wp:posOffset>
            </wp:positionH>
            <wp:positionV relativeFrom="paragraph">
              <wp:posOffset>596408</wp:posOffset>
            </wp:positionV>
            <wp:extent cx="3444323" cy="1880559"/>
            <wp:effectExtent l="19050" t="0" r="3727" b="0"/>
            <wp:wrapNone/>
            <wp:docPr id="1033" name="image4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2.jpeg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3444323" cy="188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876" w:rsidRDefault="001F7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</w:t>
      </w:r>
      <w:r>
        <w:rPr>
          <w:sz w:val="24"/>
          <w:szCs w:val="24"/>
        </w:rPr>
        <w:t>ùng xe b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 v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chuy</w:t>
      </w:r>
      <w:r>
        <w:rPr>
          <w:sz w:val="24"/>
          <w:szCs w:val="24"/>
        </w:rPr>
        <w:t>ể</w:t>
      </w:r>
      <w:r>
        <w:rPr>
          <w:sz w:val="24"/>
          <w:szCs w:val="24"/>
        </w:rPr>
        <w:t>n ch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th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l</w:t>
      </w:r>
      <w:r>
        <w:rPr>
          <w:sz w:val="24"/>
          <w:szCs w:val="24"/>
        </w:rPr>
        <w:t>ỏ</w:t>
      </w:r>
      <w:r>
        <w:rPr>
          <w:sz w:val="24"/>
          <w:szCs w:val="24"/>
        </w:rPr>
        <w:t>ng                     Các b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ch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a ch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th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l</w:t>
      </w:r>
      <w:r>
        <w:rPr>
          <w:sz w:val="24"/>
          <w:szCs w:val="24"/>
        </w:rPr>
        <w:t>ỏ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ngoài đ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ta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lên b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và sau 20 ngày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cho gia súc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này (Europian Commission, 2003). Nhưng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ta còn dù</w:t>
      </w:r>
      <w:r>
        <w:rPr>
          <w:rFonts w:ascii="Times New Roman" w:hAnsi="Times New Roman" w:cs="Times New Roman"/>
          <w:sz w:val="28"/>
          <w:szCs w:val="28"/>
        </w:rPr>
        <w:t>ng máy b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sâu vào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t, sau đó dùng xe b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có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bơm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vào các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đó, làm cho các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dinh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m vào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t, không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trôi và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ô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mùi hôi khó ch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u (Kurt Hjort Gregersen, 1999; </w:t>
      </w:r>
      <w:r>
        <w:rPr>
          <w:rFonts w:ascii="Times New Roman" w:hAnsi="Times New Roman" w:cs="Times New Roman"/>
          <w:color w:val="000000"/>
          <w:sz w:val="28"/>
          <w:szCs w:val="28"/>
        </w:rPr>
        <w:t>Burton và Turner, 2003)</w:t>
      </w:r>
      <w:r>
        <w:rPr>
          <w:rFonts w:ascii="Times New Roman" w:hAnsi="Times New Roman" w:cs="Times New Roman"/>
          <w:sz w:val="28"/>
          <w:szCs w:val="28"/>
        </w:rPr>
        <w:t>.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ta cũng dùng phương pháp bón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sau khi thu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ch,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theo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cày b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a làm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t, phương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này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dinh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trôi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bay vào không khí (ch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như 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 xml:space="preserve"> bay đi làm m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mát ni-tơ)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(Burton và Turner, 2003; </w:t>
      </w:r>
      <w:r>
        <w:rPr>
          <w:rFonts w:ascii="Times New Roman" w:hAnsi="Times New Roman" w:cs="Times New Roman"/>
          <w:sz w:val="28"/>
          <w:szCs w:val="28"/>
        </w:rPr>
        <w:t>Yinzhang Li</w:t>
      </w:r>
      <w:r>
        <w:rPr>
          <w:rFonts w:ascii="Times New Roman" w:hAnsi="Times New Roman" w:cs="Times New Roman"/>
          <w:sz w:val="28"/>
          <w:szCs w:val="28"/>
        </w:rPr>
        <w:t>ao, 2014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các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Châu Âu các trang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chăn nuôi còn có hình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bán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cho các trang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t. Do đó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i hơn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các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đang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(Kurt Hjort Gregersen, 1999; IAEA, 2008).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các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đang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các trang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có qui mô không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n,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các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trang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chăn nuôi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không có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t nên đã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Burton và Turner, 2003; </w:t>
      </w:r>
      <w:r>
        <w:rPr>
          <w:rFonts w:ascii="Times New Roman" w:hAnsi="Times New Roman" w:cs="Times New Roman"/>
          <w:sz w:val="28"/>
          <w:szCs w:val="28"/>
        </w:rPr>
        <w:t>IAEA, 2008).</w:t>
      </w:r>
    </w:p>
    <w:p w:rsidR="00090876" w:rsidRDefault="001F714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drawing>
          <wp:inline distT="0" distB="0" distL="0" distR="0">
            <wp:extent cx="5769275" cy="3545379"/>
            <wp:effectExtent l="19050" t="0" r="2875" b="0"/>
            <wp:docPr id="1034" name="image4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3.jpeg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5769275" cy="354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876" w:rsidRDefault="001F7146">
      <w:pPr>
        <w:jc w:val="center"/>
        <w:rPr>
          <w:sz w:val="24"/>
          <w:szCs w:val="24"/>
        </w:rPr>
      </w:pPr>
      <w:r>
        <w:rPr>
          <w:sz w:val="24"/>
          <w:szCs w:val="24"/>
        </w:rPr>
        <w:t>Xe b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h</w:t>
      </w:r>
      <w:r>
        <w:rPr>
          <w:sz w:val="24"/>
          <w:szCs w:val="24"/>
        </w:rPr>
        <w:t>ệ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phun ch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th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l</w:t>
      </w:r>
      <w:r>
        <w:rPr>
          <w:sz w:val="24"/>
          <w:szCs w:val="24"/>
        </w:rPr>
        <w:t>ỏ</w:t>
      </w:r>
      <w:r>
        <w:rPr>
          <w:sz w:val="24"/>
          <w:szCs w:val="24"/>
        </w:rPr>
        <w:t>ng vào các rãnh b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ta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cho 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cây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như cây lương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c, rau, cây ăn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, cây công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như 1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phân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bình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ng. Li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bón,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gian bón cũng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tính toán cho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lý như khi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phân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u cơ (Kurt Hjort Gregersen, 1999; </w:t>
      </w:r>
      <w:r>
        <w:rPr>
          <w:rFonts w:ascii="Times New Roman" w:hAnsi="Times New Roman" w:cs="Times New Roman"/>
          <w:color w:val="000000"/>
          <w:sz w:val="28"/>
          <w:szCs w:val="28"/>
        </w:rPr>
        <w:t>Burton và Turner, 2003;</w:t>
      </w:r>
      <w:r>
        <w:rPr>
          <w:rFonts w:ascii="Times New Roman" w:hAnsi="Times New Roman" w:cs="Times New Roman"/>
          <w:sz w:val="28"/>
          <w:szCs w:val="28"/>
        </w:rPr>
        <w:t xml:space="preserve"> Yinzhang Liao, 2014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876" w:rsidRDefault="001F714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>ng 3 Hi</w:t>
      </w:r>
      <w:r>
        <w:rPr>
          <w:rFonts w:ascii="Times New Roman" w:hAnsi="Times New Roman" w:cs="Times New Roman"/>
          <w:b/>
          <w:i/>
          <w:sz w:val="28"/>
          <w:szCs w:val="28"/>
        </w:rPr>
        <w:t>ệ</w:t>
      </w:r>
      <w:r>
        <w:rPr>
          <w:rFonts w:ascii="Times New Roman" w:hAnsi="Times New Roman" w:cs="Times New Roman"/>
          <w:b/>
          <w:i/>
          <w:sz w:val="28"/>
          <w:szCs w:val="28"/>
        </w:rPr>
        <w:t>u qu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i/>
          <w:sz w:val="28"/>
          <w:szCs w:val="28"/>
        </w:rPr>
        <w:t>ử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i/>
          <w:sz w:val="28"/>
          <w:szCs w:val="28"/>
        </w:rPr>
        <w:t>ụ</w:t>
      </w:r>
      <w:r>
        <w:rPr>
          <w:rFonts w:ascii="Times New Roman" w:hAnsi="Times New Roman" w:cs="Times New Roman"/>
          <w:b/>
          <w:i/>
          <w:sz w:val="28"/>
          <w:szCs w:val="28"/>
        </w:rPr>
        <w:t>ng bã th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>i b</w:t>
      </w:r>
      <w:r>
        <w:rPr>
          <w:rFonts w:ascii="Times New Roman" w:hAnsi="Times New Roman" w:cs="Times New Roman"/>
          <w:b/>
          <w:i/>
          <w:sz w:val="28"/>
          <w:szCs w:val="28"/>
        </w:rPr>
        <w:t>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KSH cho cây tr</w:t>
      </w:r>
      <w:r>
        <w:rPr>
          <w:rFonts w:ascii="Times New Roman" w:hAnsi="Times New Roman" w:cs="Times New Roman"/>
          <w:b/>
          <w:i/>
          <w:sz w:val="28"/>
          <w:szCs w:val="28"/>
        </w:rPr>
        <w:t>ồ</w:t>
      </w:r>
      <w:r>
        <w:rPr>
          <w:rFonts w:ascii="Times New Roman" w:hAnsi="Times New Roman" w:cs="Times New Roman"/>
          <w:b/>
          <w:i/>
          <w:sz w:val="28"/>
          <w:szCs w:val="28"/>
        </w:rPr>
        <w:t>ng*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3969"/>
      </w:tblGrid>
      <w:tr w:rsidR="00090876">
        <w:tc>
          <w:tcPr>
            <w:tcW w:w="2943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cây tr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2552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đi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trình di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(đã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qu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Năng su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tăng thêm so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không bón bã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i, % (bón 20 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/ha/v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)**</w:t>
            </w:r>
          </w:p>
        </w:tc>
      </w:tr>
      <w:tr w:rsidR="00090876">
        <w:tc>
          <w:tcPr>
            <w:tcW w:w="2943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Lúa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552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31,95</w:t>
            </w:r>
          </w:p>
        </w:tc>
      </w:tr>
      <w:tr w:rsidR="00090876">
        <w:tc>
          <w:tcPr>
            <w:tcW w:w="2943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Lúa mì </w:t>
            </w:r>
          </w:p>
        </w:tc>
        <w:tc>
          <w:tcPr>
            <w:tcW w:w="2552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24,69</w:t>
            </w:r>
          </w:p>
        </w:tc>
      </w:tr>
      <w:tr w:rsidR="00090876">
        <w:tc>
          <w:tcPr>
            <w:tcW w:w="2943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Khoai tây</w:t>
            </w:r>
          </w:p>
        </w:tc>
        <w:tc>
          <w:tcPr>
            <w:tcW w:w="2552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30,85</w:t>
            </w:r>
          </w:p>
        </w:tc>
      </w:tr>
      <w:tr w:rsidR="00090876">
        <w:tc>
          <w:tcPr>
            <w:tcW w:w="2943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Cà chua</w:t>
            </w:r>
          </w:p>
        </w:tc>
        <w:tc>
          <w:tcPr>
            <w:tcW w:w="2552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126,10</w:t>
            </w:r>
          </w:p>
        </w:tc>
      </w:tr>
      <w:tr w:rsidR="00090876">
        <w:tc>
          <w:tcPr>
            <w:tcW w:w="2943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</w:p>
        </w:tc>
        <w:tc>
          <w:tcPr>
            <w:tcW w:w="2552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23,99</w:t>
            </w:r>
          </w:p>
        </w:tc>
      </w:tr>
      <w:tr w:rsidR="00090876">
        <w:tc>
          <w:tcPr>
            <w:tcW w:w="2943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Mía  </w:t>
            </w:r>
          </w:p>
        </w:tc>
        <w:tc>
          <w:tcPr>
            <w:tcW w:w="2552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6,29</w:t>
            </w:r>
          </w:p>
        </w:tc>
      </w:tr>
      <w:tr w:rsidR="00090876">
        <w:tc>
          <w:tcPr>
            <w:tcW w:w="2943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</w:tc>
        <w:tc>
          <w:tcPr>
            <w:tcW w:w="2552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090876">
        <w:tc>
          <w:tcPr>
            <w:tcW w:w="2943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Kê  </w:t>
            </w:r>
          </w:p>
        </w:tc>
        <w:tc>
          <w:tcPr>
            <w:tcW w:w="2552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40,46</w:t>
            </w:r>
          </w:p>
        </w:tc>
      </w:tr>
      <w:tr w:rsidR="00090876">
        <w:tc>
          <w:tcPr>
            <w:tcW w:w="2943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</w:tc>
        <w:tc>
          <w:tcPr>
            <w:tcW w:w="2552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4,69</w:t>
            </w:r>
          </w:p>
        </w:tc>
      </w:tr>
      <w:tr w:rsidR="00090876">
        <w:tc>
          <w:tcPr>
            <w:tcW w:w="2943" w:type="dxa"/>
          </w:tcPr>
          <w:p w:rsidR="00090876" w:rsidRDefault="0009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0876" w:rsidRDefault="0009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0876" w:rsidRDefault="0009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876" w:rsidRDefault="001F7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*Ngu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n Warnars và Oppenoorth, 2014;  </w:t>
      </w:r>
    </w:p>
    <w:p w:rsidR="00090876" w:rsidRDefault="001F7146">
      <w:pPr>
        <w:rPr>
          <w:b/>
          <w:sz w:val="24"/>
          <w:szCs w:val="24"/>
        </w:rPr>
      </w:pPr>
      <w:r>
        <w:rPr>
          <w:noProof/>
          <w:lang w:val="vi-VN" w:eastAsia="vi-V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3900936</wp:posOffset>
            </wp:positionH>
            <wp:positionV relativeFrom="paragraph">
              <wp:posOffset>552222</wp:posOffset>
            </wp:positionV>
            <wp:extent cx="2855865" cy="2147371"/>
            <wp:effectExtent l="19050" t="0" r="1635" b="0"/>
            <wp:wrapNone/>
            <wp:docPr id="1035" name="image8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2.jpeg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2855865" cy="2147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915670</wp:posOffset>
            </wp:positionH>
            <wp:positionV relativeFrom="paragraph">
              <wp:posOffset>551815</wp:posOffset>
            </wp:positionV>
            <wp:extent cx="2806700" cy="2104390"/>
            <wp:effectExtent l="19050" t="0" r="0" b="0"/>
            <wp:wrapTopAndBottom/>
            <wp:docPr id="1036" name="image86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6.jpeg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280670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** </w:t>
      </w:r>
      <w:r>
        <w:rPr>
          <w:rFonts w:ascii="Times New Roman" w:hAnsi="Times New Roman" w:cs="Times New Roman"/>
          <w:sz w:val="24"/>
          <w:szCs w:val="24"/>
        </w:rPr>
        <w:t>Bã th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có hàm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 ch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khô 7%; N: 12,5 kg/m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 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: 5,0 kg/m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 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O: 0,8 kg/m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090876" w:rsidRDefault="00090876">
      <w:pPr>
        <w:rPr>
          <w:b/>
          <w:sz w:val="24"/>
          <w:szCs w:val="24"/>
        </w:rPr>
      </w:pP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Chè tư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kh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15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/ha/năm (nư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có hàm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ni-tơ: 0,6 kg/m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; 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: 0,4 kg/m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  K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O: 0,8 kg/m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 đã tăng năng 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chè 11%,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 chi phí phân hóa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hàng năm 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138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Anh cho 1 ha (Warnars và Oppenoorth, 2014).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châu Phi trong ao nuôi cá đã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làm tăng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loài t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c</w:t>
      </w:r>
      <w:r>
        <w:rPr>
          <w:rFonts w:ascii="Times New Roman" w:hAnsi="Times New Roman" w:cs="Times New Roman"/>
          <w:sz w:val="28"/>
          <w:szCs w:val="28"/>
        </w:rPr>
        <w:t>ó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làm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ăn cho cá, năng 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cá tăng thêm 12% 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chi phí mua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ăn công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 40% (Warnars và Oppenoorth, 2014).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 làm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ăn b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sung cho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n, bò còn có ý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trái 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vì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chưa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lưu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gian trong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KSH,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còn t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dư m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nh, làm cho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nuôi tiêu ch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y, do đó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này còn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ý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trái 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(Warnars và Oppenoorth, 2014).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khuy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phù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các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đang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là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tr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 vào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nông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 như rơm 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, mùn cưa …đ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ư phân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cơ, nhưng chưa có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tài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công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này (IAEA, 2008; Warnars và Oppenoorth, 2014).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Tuy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vùng có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quán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ng khác nhau, nhưng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Trung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có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khuy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cáo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 xml:space="preserve"> áp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khi dùng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KSH cho cây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ng. </w:t>
      </w:r>
    </w:p>
    <w:p w:rsidR="00090876" w:rsidRDefault="001F71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>ng 4 Khuy</w:t>
      </w:r>
      <w:r>
        <w:rPr>
          <w:rFonts w:ascii="Times New Roman" w:hAnsi="Times New Roman" w:cs="Times New Roman"/>
          <w:b/>
          <w:i/>
          <w:sz w:val="28"/>
          <w:szCs w:val="28"/>
        </w:rPr>
        <w:t>ế</w:t>
      </w:r>
      <w:r>
        <w:rPr>
          <w:rFonts w:ascii="Times New Roman" w:hAnsi="Times New Roman" w:cs="Times New Roman"/>
          <w:b/>
          <w:i/>
          <w:sz w:val="28"/>
          <w:szCs w:val="28"/>
        </w:rPr>
        <w:t>n cáo v</w:t>
      </w:r>
      <w:r>
        <w:rPr>
          <w:rFonts w:ascii="Times New Roman" w:hAnsi="Times New Roman" w:cs="Times New Roman"/>
          <w:b/>
          <w:i/>
          <w:sz w:val="28"/>
          <w:szCs w:val="28"/>
        </w:rPr>
        <w:t>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m</w:t>
      </w:r>
      <w:r>
        <w:rPr>
          <w:rFonts w:ascii="Times New Roman" w:hAnsi="Times New Roman" w:cs="Times New Roman"/>
          <w:b/>
          <w:i/>
          <w:sz w:val="28"/>
          <w:szCs w:val="28"/>
        </w:rPr>
        <w:t>ứ</w:t>
      </w:r>
      <w:r>
        <w:rPr>
          <w:rFonts w:ascii="Times New Roman" w:hAnsi="Times New Roman" w:cs="Times New Roman"/>
          <w:b/>
          <w:i/>
          <w:sz w:val="28"/>
          <w:szCs w:val="28"/>
        </w:rPr>
        <w:t>c s</w:t>
      </w:r>
      <w:r>
        <w:rPr>
          <w:rFonts w:ascii="Times New Roman" w:hAnsi="Times New Roman" w:cs="Times New Roman"/>
          <w:b/>
          <w:i/>
          <w:sz w:val="28"/>
          <w:szCs w:val="28"/>
        </w:rPr>
        <w:t>ử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i/>
          <w:sz w:val="28"/>
          <w:szCs w:val="28"/>
        </w:rPr>
        <w:t>ụ</w:t>
      </w:r>
      <w:r>
        <w:rPr>
          <w:rFonts w:ascii="Times New Roman" w:hAnsi="Times New Roman" w:cs="Times New Roman"/>
          <w:b/>
          <w:i/>
          <w:sz w:val="28"/>
          <w:szCs w:val="28"/>
        </w:rPr>
        <w:t>ng nư</w:t>
      </w:r>
      <w:r>
        <w:rPr>
          <w:rFonts w:ascii="Times New Roman" w:hAnsi="Times New Roman" w:cs="Times New Roman"/>
          <w:b/>
          <w:i/>
          <w:sz w:val="28"/>
          <w:szCs w:val="28"/>
        </w:rPr>
        <w:t>ớ</w:t>
      </w:r>
      <w:r>
        <w:rPr>
          <w:rFonts w:ascii="Times New Roman" w:hAnsi="Times New Roman" w:cs="Times New Roman"/>
          <w:b/>
          <w:i/>
          <w:sz w:val="28"/>
          <w:szCs w:val="28"/>
        </w:rPr>
        <w:t>c x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b</w:t>
      </w:r>
      <w:r>
        <w:rPr>
          <w:rFonts w:ascii="Times New Roman" w:hAnsi="Times New Roman" w:cs="Times New Roman"/>
          <w:b/>
          <w:i/>
          <w:sz w:val="28"/>
          <w:szCs w:val="28"/>
        </w:rPr>
        <w:t>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KSH cho cây tr</w:t>
      </w:r>
      <w:r>
        <w:rPr>
          <w:rFonts w:ascii="Times New Roman" w:hAnsi="Times New Roman" w:cs="Times New Roman"/>
          <w:b/>
          <w:i/>
          <w:sz w:val="28"/>
          <w:szCs w:val="28"/>
        </w:rPr>
        <w:t>ồ</w:t>
      </w:r>
      <w:r>
        <w:rPr>
          <w:rFonts w:ascii="Times New Roman" w:hAnsi="Times New Roman" w:cs="Times New Roman"/>
          <w:b/>
          <w:i/>
          <w:sz w:val="28"/>
          <w:szCs w:val="28"/>
        </w:rPr>
        <w:t>ng*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506"/>
      </w:tblGrid>
      <w:tr w:rsidR="00090876">
        <w:tc>
          <w:tcPr>
            <w:tcW w:w="1101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69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cây tr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4506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KSH; 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/ha/v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</w:tc>
      </w:tr>
      <w:tr w:rsidR="00090876">
        <w:tc>
          <w:tcPr>
            <w:tcW w:w="1101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Lúa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506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 – 37,5</w:t>
            </w:r>
          </w:p>
        </w:tc>
      </w:tr>
      <w:tr w:rsidR="00090876">
        <w:tc>
          <w:tcPr>
            <w:tcW w:w="1101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Lúa mì</w:t>
            </w:r>
          </w:p>
        </w:tc>
        <w:tc>
          <w:tcPr>
            <w:tcW w:w="4506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</w:tr>
      <w:tr w:rsidR="00090876">
        <w:tc>
          <w:tcPr>
            <w:tcW w:w="1101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</w:p>
        </w:tc>
        <w:tc>
          <w:tcPr>
            <w:tcW w:w="4506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</w:tr>
      <w:tr w:rsidR="00090876">
        <w:tc>
          <w:tcPr>
            <w:tcW w:w="1101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506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30-45</w:t>
            </w:r>
          </w:p>
        </w:tc>
      </w:tr>
      <w:tr w:rsidR="00090876">
        <w:tc>
          <w:tcPr>
            <w:tcW w:w="1101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Cà chua</w:t>
            </w:r>
          </w:p>
        </w:tc>
        <w:tc>
          <w:tcPr>
            <w:tcW w:w="4506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90876">
        <w:tc>
          <w:tcPr>
            <w:tcW w:w="1101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Dưa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506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0876">
        <w:tc>
          <w:tcPr>
            <w:tcW w:w="1101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</w:p>
        </w:tc>
        <w:tc>
          <w:tcPr>
            <w:tcW w:w="4506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15-45</w:t>
            </w:r>
          </w:p>
        </w:tc>
      </w:tr>
      <w:tr w:rsidR="00090876">
        <w:tc>
          <w:tcPr>
            <w:tcW w:w="1101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90876" w:rsidRDefault="001F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Táo</w:t>
            </w:r>
          </w:p>
        </w:tc>
        <w:tc>
          <w:tcPr>
            <w:tcW w:w="4506" w:type="dxa"/>
          </w:tcPr>
          <w:p w:rsidR="00090876" w:rsidRDefault="001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30-60</w:t>
            </w:r>
          </w:p>
        </w:tc>
      </w:tr>
    </w:tbl>
    <w:p w:rsidR="00090876" w:rsidRDefault="001F7146">
      <w:r>
        <w:t>*Ngu</w:t>
      </w:r>
      <w:r>
        <w:t>ồ</w:t>
      </w:r>
      <w:r>
        <w:t xml:space="preserve">n </w:t>
      </w:r>
      <w:r>
        <w:rPr>
          <w:rFonts w:ascii="Times New Roman" w:hAnsi="Times New Roman" w:cs="Times New Roman"/>
          <w:color w:val="000000"/>
          <w:sz w:val="24"/>
          <w:szCs w:val="24"/>
        </w:rPr>
        <w:t>Zheng Shixuan, 2014,</w:t>
      </w:r>
      <w:r>
        <w:t xml:space="preserve"> </w:t>
      </w:r>
    </w:p>
    <w:p w:rsidR="00090876" w:rsidRDefault="00090876">
      <w:pPr>
        <w:jc w:val="both"/>
        <w:rPr>
          <w:b/>
          <w:sz w:val="28"/>
          <w:szCs w:val="28"/>
        </w:rPr>
      </w:pPr>
    </w:p>
    <w:p w:rsidR="00090876" w:rsidRDefault="001F71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t lu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n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không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lý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là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gây ô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ng, nhưng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và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lý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thành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phân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có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đã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(b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công ngh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KSH,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lưu trong các b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ng,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3-4 tháng)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không còn m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cơ đã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vi sinh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phân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thành các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dinh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cho cây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và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mùn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làm màu m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 xml:space="preserve"> và tơi x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p cho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090876" w:rsidRDefault="001F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đã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cho 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cây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và mang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kinh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rõ ràng.</w:t>
      </w:r>
    </w:p>
    <w:p w:rsidR="00090876" w:rsidRDefault="00090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876" w:rsidRDefault="001F71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Tài li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u tham kh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</w:p>
    <w:p w:rsidR="00090876" w:rsidRDefault="001F71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Burton C. H, &amp;  Turner C, </w:t>
      </w:r>
      <w:r>
        <w:rPr>
          <w:rFonts w:ascii="Times New Roman" w:hAnsi="Times New Roman" w:cs="Times New Roman"/>
          <w:sz w:val="28"/>
          <w:szCs w:val="28"/>
        </w:rPr>
        <w:t xml:space="preserve">“Manure Management” – Silsoe Reseach Institute, 2003, UK, p 74, 178, 307, 344; </w:t>
      </w:r>
    </w:p>
    <w:p w:rsidR="00090876" w:rsidRDefault="001F71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Eschborn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“Effluent from household biogas plants- </w:t>
      </w:r>
      <w:r>
        <w:rPr>
          <w:rFonts w:ascii="Times New Roman" w:hAnsi="Times New Roman" w:cs="Times New Roman"/>
          <w:color w:val="000000"/>
          <w:sz w:val="28"/>
          <w:szCs w:val="28"/>
        </w:rPr>
        <w:t>evaluable and product or a problem for the plant owner and the environment” , Environment and Infrastructure, GTZ,  2008,</w:t>
      </w:r>
    </w:p>
    <w:p w:rsidR="00090876" w:rsidRDefault="001F71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European Commission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Integrated Pollution and Control – Reference Document on Best Available Technique for Intensive Rearing of </w:t>
      </w:r>
      <w:r>
        <w:rPr>
          <w:rFonts w:ascii="Times New Roman" w:hAnsi="Times New Roman" w:cs="Times New Roman"/>
          <w:color w:val="000000"/>
          <w:sz w:val="28"/>
          <w:szCs w:val="28"/>
        </w:rPr>
        <w:t>Poultry and Pigs, 2003 ( P 71-94);</w:t>
      </w:r>
    </w:p>
    <w:p w:rsidR="00090876" w:rsidRDefault="001F71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Kurt Hjort Gregersen</w:t>
      </w:r>
      <w:r>
        <w:rPr>
          <w:rFonts w:ascii="Times New Roman" w:hAnsi="Times New Roman" w:cs="Times New Roman"/>
          <w:sz w:val="28"/>
          <w:szCs w:val="28"/>
        </w:rPr>
        <w:t>, “Centralised Biogas Plant” Danish Institute of Agricultural and Fisheries Economic, 1999</w:t>
      </w:r>
    </w:p>
    <w:p w:rsidR="00090876" w:rsidRDefault="001F71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Kurt Muller and Torsten Moller</w:t>
      </w:r>
      <w:r>
        <w:rPr>
          <w:rFonts w:ascii="Times New Roman" w:hAnsi="Times New Roman" w:cs="Times New Roman"/>
          <w:sz w:val="28"/>
          <w:szCs w:val="28"/>
        </w:rPr>
        <w:t>,  “Effects of anaerobic digestion on digestete nutrient availability and crop g</w:t>
      </w:r>
      <w:r>
        <w:rPr>
          <w:rFonts w:ascii="Times New Roman" w:hAnsi="Times New Roman" w:cs="Times New Roman"/>
          <w:sz w:val="28"/>
          <w:szCs w:val="28"/>
        </w:rPr>
        <w:t>rowth: A Review”, 2012,</w:t>
      </w:r>
    </w:p>
    <w:p w:rsidR="00090876" w:rsidRDefault="001F71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Natural Resources Conservation Service, </w:t>
      </w:r>
      <w:r>
        <w:rPr>
          <w:rFonts w:ascii="Times New Roman" w:hAnsi="Times New Roman" w:cs="Times New Roman"/>
          <w:color w:val="000000"/>
          <w:sz w:val="28"/>
          <w:szCs w:val="28"/>
        </w:rPr>
        <w:t>“Anaerobic digester – Ambient Temperature”, 2003, USA</w:t>
      </w:r>
    </w:p>
    <w:p w:rsidR="00090876" w:rsidRDefault="001F71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Warnars và Oppenoorth</w:t>
      </w:r>
      <w:r>
        <w:rPr>
          <w:rFonts w:ascii="Times New Roman" w:hAnsi="Times New Roman" w:cs="Times New Roman"/>
          <w:color w:val="000000"/>
          <w:sz w:val="28"/>
          <w:szCs w:val="28"/>
        </w:rPr>
        <w:t>, “ Biosluury : A Supreme Fertilizer”, 2014</w:t>
      </w:r>
    </w:p>
    <w:p w:rsidR="00090876" w:rsidRDefault="001F71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Yan Zhiying, </w:t>
      </w:r>
      <w:r>
        <w:rPr>
          <w:rFonts w:ascii="Times New Roman" w:hAnsi="Times New Roman" w:cs="Times New Roman"/>
          <w:color w:val="000000"/>
          <w:sz w:val="28"/>
          <w:szCs w:val="28"/>
        </w:rPr>
        <w:t>“Typical Processes of Biogas production” Proceeding on Whork</w:t>
      </w:r>
      <w:r>
        <w:rPr>
          <w:rFonts w:ascii="Times New Roman" w:hAnsi="Times New Roman" w:cs="Times New Roman"/>
          <w:color w:val="000000"/>
          <w:sz w:val="28"/>
          <w:szCs w:val="28"/>
        </w:rPr>
        <w:t>shop and Training Course on Biogas Technology, in Shengdu, China, 2014</w:t>
      </w:r>
    </w:p>
    <w:p w:rsidR="00090876" w:rsidRDefault="001F71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Yinzhang Liao, </w:t>
      </w:r>
      <w:r>
        <w:rPr>
          <w:rFonts w:ascii="Times New Roman" w:hAnsi="Times New Roman" w:cs="Times New Roman"/>
          <w:sz w:val="28"/>
          <w:szCs w:val="28"/>
        </w:rPr>
        <w:t xml:space="preserve">“Organic solide waste composting technology”, </w:t>
      </w:r>
      <w:r>
        <w:rPr>
          <w:rFonts w:ascii="Times New Roman" w:hAnsi="Times New Roman" w:cs="Times New Roman"/>
          <w:color w:val="000000"/>
          <w:sz w:val="28"/>
          <w:szCs w:val="28"/>
        </w:rPr>
        <w:t>Proceeding on Whorkshop and Training Course on Biogas Technology, in Shengdu, China,  2014</w:t>
      </w:r>
    </w:p>
    <w:p w:rsidR="00090876" w:rsidRDefault="001F71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Zheng Shixuan,   </w:t>
      </w:r>
      <w:r>
        <w:rPr>
          <w:rFonts w:ascii="Times New Roman" w:hAnsi="Times New Roman" w:cs="Times New Roman"/>
          <w:color w:val="000000"/>
          <w:sz w:val="28"/>
          <w:szCs w:val="28"/>
        </w:rPr>
        <w:t>“Utilization o</w:t>
      </w:r>
      <w:r>
        <w:rPr>
          <w:rFonts w:ascii="Times New Roman" w:hAnsi="Times New Roman" w:cs="Times New Roman"/>
          <w:color w:val="000000"/>
          <w:sz w:val="28"/>
          <w:szCs w:val="28"/>
        </w:rPr>
        <w:t>f Biogas Slurry”,  Proceeding on Whorkshop and Training Course on Biogas Technology, in Shengdu, China,  2014</w:t>
      </w:r>
    </w:p>
    <w:p w:rsidR="00090876" w:rsidRDefault="00090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876" w:rsidRDefault="00090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876" w:rsidRDefault="00090876">
      <w:pPr>
        <w:jc w:val="both"/>
        <w:rPr>
          <w:sz w:val="28"/>
          <w:szCs w:val="28"/>
        </w:rPr>
      </w:pPr>
    </w:p>
    <w:sectPr w:rsidR="00090876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46" w:rsidRDefault="001F7146">
      <w:pPr>
        <w:spacing w:after="0" w:line="240" w:lineRule="auto"/>
      </w:pPr>
      <w:r>
        <w:separator/>
      </w:r>
    </w:p>
  </w:endnote>
  <w:endnote w:type="continuationSeparator" w:id="0">
    <w:p w:rsidR="001F7146" w:rsidRDefault="001F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76" w:rsidRDefault="001F714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90876" w:rsidRDefault="00090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46" w:rsidRDefault="001F7146">
      <w:pPr>
        <w:spacing w:after="0" w:line="240" w:lineRule="auto"/>
      </w:pPr>
      <w:r>
        <w:separator/>
      </w:r>
    </w:p>
  </w:footnote>
  <w:footnote w:type="continuationSeparator" w:id="0">
    <w:p w:rsidR="001F7146" w:rsidRDefault="001F7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017AE594"/>
    <w:lvl w:ilvl="0" w:tplc="67663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12C3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89A1454"/>
    <w:lvl w:ilvl="0" w:tplc="6F5A4D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76"/>
    <w:rsid w:val="00090876"/>
    <w:rsid w:val="001F7146"/>
    <w:rsid w:val="006A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S-CPSHeading">
    <w:name w:val="SCS-CPS Heading"/>
    <w:basedOn w:val="BodyText"/>
    <w:pPr>
      <w:spacing w:line="240" w:lineRule="atLeast"/>
      <w:jc w:val="center"/>
    </w:pPr>
    <w:rPr>
      <w:rFonts w:ascii="Arial" w:eastAsia="Times New Roman" w:hAnsi="Arial" w:cs="Times New Roman"/>
      <w:b/>
      <w:caps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  <w:jc w:val="center"/>
    </w:pPr>
    <w:rPr>
      <w:rFonts w:ascii="SimSun" w:eastAsia="SimSun" w:hAnsi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S-CPSHeading">
    <w:name w:val="SCS-CPS Heading"/>
    <w:basedOn w:val="BodyText"/>
    <w:pPr>
      <w:spacing w:line="240" w:lineRule="atLeast"/>
      <w:jc w:val="center"/>
    </w:pPr>
    <w:rPr>
      <w:rFonts w:ascii="Arial" w:eastAsia="Times New Roman" w:hAnsi="Arial" w:cs="Times New Roman"/>
      <w:b/>
      <w:caps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  <w:jc w:val="center"/>
    </w:pPr>
    <w:rPr>
      <w:rFonts w:ascii="SimSun" w:eastAsia="SimSun" w:hAnsi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6BA3-4EBE-40BC-9659-84891EC7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frt</dc:creator>
  <cp:lastModifiedBy>Cty TNHH Thien Son</cp:lastModifiedBy>
  <cp:revision>2</cp:revision>
  <dcterms:created xsi:type="dcterms:W3CDTF">2017-09-22T06:45:00Z</dcterms:created>
  <dcterms:modified xsi:type="dcterms:W3CDTF">2017-09-22T06:45:00Z</dcterms:modified>
</cp:coreProperties>
</file>